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9264CB">
            <w:pPr>
              <w:pStyle w:val="Infotext"/>
              <w:rPr>
                <w:rFonts w:cs="Arial"/>
              </w:rPr>
            </w:pPr>
            <w:r>
              <w:rPr>
                <w:rFonts w:cs="Arial"/>
              </w:rPr>
              <w:t>20 May 2019</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9264CB" w:rsidRDefault="009264CB" w:rsidP="009264CB">
            <w:pPr>
              <w:pStyle w:val="Infotext"/>
            </w:pPr>
            <w:r>
              <w:t>Application for review of the premises licence for Express Food &amp; Wine, 21 High Street, Wealdstone, HA3 5BY</w:t>
            </w:r>
          </w:p>
          <w:p w:rsidR="006A233E" w:rsidRDefault="006A233E">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p w:rsidR="006A233E" w:rsidRPr="00911565" w:rsidRDefault="006A233E">
            <w:pPr>
              <w:pStyle w:val="Infotext"/>
              <w:rPr>
                <w:rFonts w:ascii="Arial Black" w:hAnsi="Arial Black" w:cs="Arial"/>
              </w:rPr>
            </w:pPr>
          </w:p>
        </w:tc>
        <w:tc>
          <w:tcPr>
            <w:tcW w:w="5051" w:type="dxa"/>
          </w:tcPr>
          <w:p w:rsidR="009264CB" w:rsidRDefault="009264CB" w:rsidP="009264CB">
            <w:pPr>
              <w:pStyle w:val="Infotext"/>
              <w:rPr>
                <w:rFonts w:cs="Arial"/>
              </w:rPr>
            </w:pPr>
            <w:r>
              <w:rPr>
                <w:rFonts w:cs="Arial"/>
              </w:rPr>
              <w:t>Paul Walker – Corporate Director – Community Directorate</w:t>
            </w:r>
          </w:p>
          <w:p w:rsidR="006A233E" w:rsidRDefault="006A233E">
            <w:pPr>
              <w:pStyle w:val="Infotext"/>
              <w:rPr>
                <w:rFonts w:cs="Arial"/>
              </w:rPr>
            </w:pPr>
          </w:p>
          <w:p w:rsidR="002C0FCA" w:rsidRDefault="002C0FCA">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6A233E" w:rsidRDefault="006A233E">
            <w:pPr>
              <w:pStyle w:val="Infotext"/>
              <w:rPr>
                <w:rFonts w:cs="Arial"/>
              </w:rPr>
            </w:pPr>
            <w:r>
              <w:rPr>
                <w:rFonts w:cs="Arial"/>
              </w:rPr>
              <w:t>No</w:t>
            </w:r>
          </w:p>
          <w:p w:rsidR="006A233E" w:rsidRDefault="006A233E" w:rsidP="009264CB">
            <w:pPr>
              <w:pStyle w:val="Infotext"/>
              <w:rPr>
                <w:rFonts w:cs="Arial"/>
              </w:rPr>
            </w:pP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8652B2" w:rsidRDefault="009264CB">
            <w:pPr>
              <w:pStyle w:val="Infotext"/>
            </w:pPr>
            <w:r>
              <w:t>Marlborough</w:t>
            </w:r>
          </w:p>
          <w:p w:rsidR="00587AB5" w:rsidRDefault="00587AB5" w:rsidP="009264CB">
            <w:pPr>
              <w:pStyle w:val="Infotext"/>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Enclosures:</w:t>
            </w:r>
          </w:p>
          <w:p w:rsidR="006A233E" w:rsidRPr="00911565" w:rsidRDefault="006A233E">
            <w:pPr>
              <w:pStyle w:val="Infotext"/>
              <w:rPr>
                <w:rFonts w:ascii="Arial Black" w:hAnsi="Arial Black" w:cs="Arial"/>
              </w:rPr>
            </w:pPr>
          </w:p>
        </w:tc>
        <w:tc>
          <w:tcPr>
            <w:tcW w:w="5051" w:type="dxa"/>
          </w:tcPr>
          <w:p w:rsidR="006A233E" w:rsidRDefault="009264CB">
            <w:pPr>
              <w:pStyle w:val="Infotext"/>
            </w:pPr>
            <w:r>
              <w:t>Application for review (appendix 1)</w:t>
            </w:r>
            <w:r>
              <w:br/>
              <w:t>Location map and image (appendix 2 and 2a)</w:t>
            </w:r>
            <w:r>
              <w:br/>
              <w:t>Current premises licence and plan (appendix 3)</w:t>
            </w:r>
            <w:r>
              <w:br/>
              <w:t>Representations (appendix 4)</w:t>
            </w:r>
            <w:r>
              <w:br/>
              <w:t>Licence review guidelines (appendix 5)</w:t>
            </w:r>
          </w:p>
        </w:tc>
      </w:tr>
    </w:tbl>
    <w:p w:rsidR="006A233E" w:rsidRDefault="006A233E">
      <w:pPr>
        <w:rPr>
          <w:rFonts w:cs="Arial"/>
        </w:rPr>
      </w:pPr>
    </w:p>
    <w:p w:rsidR="006A233E" w:rsidRDefault="006A23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Default="00034B71" w:rsidP="00034B71">
            <w:pPr>
              <w:pStyle w:val="Heading1"/>
            </w:pPr>
            <w:r>
              <w:t>Section 1 – Summary</w:t>
            </w:r>
          </w:p>
          <w:p w:rsidR="00034B71" w:rsidRDefault="00034B71"/>
        </w:tc>
      </w:tr>
      <w:tr w:rsidR="006A233E">
        <w:tc>
          <w:tcPr>
            <w:tcW w:w="8525" w:type="dxa"/>
          </w:tcPr>
          <w:p w:rsidR="006A233E" w:rsidRDefault="006A233E"/>
          <w:p w:rsidR="006A233E" w:rsidRDefault="009264CB">
            <w:pPr>
              <w:pStyle w:val="Heading2"/>
            </w:pPr>
            <w:r>
              <w:rPr>
                <w:bCs w:val="0"/>
              </w:rPr>
              <w:t>An application has been received from the Metropolitan Police Service to review the premises licence for Express Food &amp; Wine, 21 High Street, Wealdstone, HA3 5BY,  on the grounds of the prevention of crime and disorder.</w:t>
            </w:r>
          </w:p>
          <w:p w:rsidR="006A233E" w:rsidRDefault="006A233E">
            <w:pPr>
              <w:jc w:val="both"/>
              <w:rPr>
                <w:rFonts w:cs="Arial"/>
              </w:rPr>
            </w:pPr>
          </w:p>
        </w:tc>
      </w:tr>
    </w:tbl>
    <w:p w:rsidR="003A253A" w:rsidRDefault="003A253A" w:rsidP="007D2AB0">
      <w:pPr>
        <w:pStyle w:val="Heading1"/>
        <w:jc w:val="both"/>
      </w:pPr>
    </w:p>
    <w:p w:rsidR="003A253A" w:rsidRDefault="003A253A" w:rsidP="007D2AB0">
      <w:pPr>
        <w:pStyle w:val="Heading1"/>
        <w:jc w:val="both"/>
      </w:pPr>
    </w:p>
    <w:p w:rsidR="00AE36F6" w:rsidRDefault="00AE36F6" w:rsidP="00AE36F6"/>
    <w:p w:rsidR="00AE36F6" w:rsidRPr="00AE36F6" w:rsidRDefault="00AE36F6" w:rsidP="00AE36F6"/>
    <w:p w:rsidR="007D2AB0" w:rsidRDefault="007D2AB0" w:rsidP="007D2AB0">
      <w:pPr>
        <w:pStyle w:val="Heading1"/>
        <w:jc w:val="both"/>
      </w:pPr>
      <w:r>
        <w:lastRenderedPageBreak/>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9264CB" w:rsidTr="007B23C5">
        <w:trPr>
          <w:trHeight w:val="146"/>
        </w:trPr>
        <w:tc>
          <w:tcPr>
            <w:tcW w:w="4596" w:type="dxa"/>
          </w:tcPr>
          <w:p w:rsidR="009264CB" w:rsidRDefault="009264CB" w:rsidP="007B23C5">
            <w:pPr>
              <w:rPr>
                <w:b/>
              </w:rPr>
            </w:pPr>
            <w:r>
              <w:rPr>
                <w:b/>
              </w:rPr>
              <w:t>From</w:t>
            </w:r>
          </w:p>
        </w:tc>
        <w:tc>
          <w:tcPr>
            <w:tcW w:w="5010" w:type="dxa"/>
          </w:tcPr>
          <w:p w:rsidR="009264CB" w:rsidRDefault="009264CB" w:rsidP="007B23C5">
            <w:pPr>
              <w:rPr>
                <w:b/>
                <w:bCs/>
              </w:rPr>
            </w:pPr>
            <w:r>
              <w:rPr>
                <w:b/>
                <w:bCs/>
              </w:rPr>
              <w:t>Representations details</w:t>
            </w:r>
          </w:p>
          <w:p w:rsidR="009264CB" w:rsidRDefault="009264CB" w:rsidP="007B23C5">
            <w:pPr>
              <w:rPr>
                <w:bCs/>
              </w:rPr>
            </w:pPr>
          </w:p>
        </w:tc>
      </w:tr>
      <w:tr w:rsidR="009264CB" w:rsidTr="007B23C5">
        <w:trPr>
          <w:trHeight w:val="146"/>
        </w:trPr>
        <w:tc>
          <w:tcPr>
            <w:tcW w:w="4596" w:type="dxa"/>
            <w:vAlign w:val="center"/>
          </w:tcPr>
          <w:p w:rsidR="009264CB" w:rsidRDefault="009264CB" w:rsidP="007B23C5">
            <w:r>
              <w:t xml:space="preserve">The Planning Authority </w:t>
            </w:r>
          </w:p>
        </w:tc>
        <w:tc>
          <w:tcPr>
            <w:tcW w:w="5010" w:type="dxa"/>
            <w:vAlign w:val="center"/>
          </w:tcPr>
          <w:p w:rsidR="009264CB" w:rsidRDefault="009264CB" w:rsidP="007B23C5">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Health &amp; Safety </w:t>
            </w:r>
          </w:p>
        </w:tc>
        <w:tc>
          <w:tcPr>
            <w:tcW w:w="5010" w:type="dxa"/>
            <w:vAlign w:val="center"/>
          </w:tcPr>
          <w:p w:rsidR="009264CB" w:rsidRPr="007262E4" w:rsidRDefault="009264CB" w:rsidP="007B23C5">
            <w:pPr>
              <w:rPr>
                <w:b/>
              </w:rPr>
            </w:pPr>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Environmental Health </w:t>
            </w:r>
          </w:p>
        </w:tc>
        <w:tc>
          <w:tcPr>
            <w:tcW w:w="5010" w:type="dxa"/>
            <w:vAlign w:val="center"/>
          </w:tcPr>
          <w:p w:rsidR="009264CB" w:rsidRPr="00B31392" w:rsidRDefault="009264CB" w:rsidP="007B23C5">
            <w:pPr>
              <w:pStyle w:val="Heading7"/>
              <w:rPr>
                <w:b/>
                <w:bCs/>
                <w:i w:val="0"/>
              </w:rPr>
            </w:pPr>
            <w:r>
              <w:t>No representations received</w:t>
            </w:r>
          </w:p>
        </w:tc>
      </w:tr>
      <w:tr w:rsidR="009264CB" w:rsidTr="007B23C5">
        <w:trPr>
          <w:trHeight w:val="146"/>
        </w:trPr>
        <w:tc>
          <w:tcPr>
            <w:tcW w:w="4596" w:type="dxa"/>
            <w:vAlign w:val="center"/>
          </w:tcPr>
          <w:p w:rsidR="009264CB" w:rsidRDefault="009264CB" w:rsidP="007B23C5">
            <w:r>
              <w:t xml:space="preserve">Trading Standards </w:t>
            </w:r>
          </w:p>
        </w:tc>
        <w:tc>
          <w:tcPr>
            <w:tcW w:w="5010" w:type="dxa"/>
            <w:vAlign w:val="center"/>
          </w:tcPr>
          <w:p w:rsidR="009264CB" w:rsidRDefault="009264CB" w:rsidP="007B23C5">
            <w:r>
              <w:t>Representations received</w:t>
            </w:r>
          </w:p>
        </w:tc>
      </w:tr>
      <w:tr w:rsidR="009264CB" w:rsidTr="007B23C5">
        <w:trPr>
          <w:trHeight w:val="146"/>
        </w:trPr>
        <w:tc>
          <w:tcPr>
            <w:tcW w:w="4596" w:type="dxa"/>
            <w:vAlign w:val="center"/>
          </w:tcPr>
          <w:p w:rsidR="009264CB" w:rsidRDefault="009264CB" w:rsidP="007B23C5">
            <w:r>
              <w:t>Area Child Protection Service</w:t>
            </w:r>
          </w:p>
        </w:tc>
        <w:tc>
          <w:tcPr>
            <w:tcW w:w="5010" w:type="dxa"/>
            <w:vAlign w:val="center"/>
          </w:tcPr>
          <w:p w:rsidR="009264CB" w:rsidRDefault="009264CB" w:rsidP="007B23C5">
            <w:r>
              <w:t>No representations received</w:t>
            </w:r>
          </w:p>
        </w:tc>
      </w:tr>
      <w:tr w:rsidR="009264CB" w:rsidTr="007B23C5">
        <w:trPr>
          <w:trHeight w:val="355"/>
        </w:trPr>
        <w:tc>
          <w:tcPr>
            <w:tcW w:w="4596" w:type="dxa"/>
            <w:vAlign w:val="center"/>
          </w:tcPr>
          <w:p w:rsidR="009264CB" w:rsidRDefault="009264CB" w:rsidP="007B23C5">
            <w:r>
              <w:t xml:space="preserve">London Fire Brigade </w:t>
            </w:r>
          </w:p>
        </w:tc>
        <w:tc>
          <w:tcPr>
            <w:tcW w:w="5010" w:type="dxa"/>
            <w:vAlign w:val="center"/>
          </w:tcPr>
          <w:p w:rsidR="009264CB" w:rsidRDefault="009264CB" w:rsidP="007B23C5">
            <w:r>
              <w:t>No representations received</w:t>
            </w:r>
          </w:p>
        </w:tc>
      </w:tr>
      <w:tr w:rsidR="009264CB" w:rsidTr="007B23C5">
        <w:trPr>
          <w:trHeight w:val="313"/>
        </w:trPr>
        <w:tc>
          <w:tcPr>
            <w:tcW w:w="4596" w:type="dxa"/>
            <w:vAlign w:val="center"/>
          </w:tcPr>
          <w:p w:rsidR="009264CB" w:rsidRPr="000425D9" w:rsidRDefault="009264CB" w:rsidP="007B23C5">
            <w:pPr>
              <w:pStyle w:val="Heading7"/>
            </w:pPr>
            <w:r w:rsidRPr="000425D9">
              <w:t>Metropolitan Police</w:t>
            </w:r>
          </w:p>
        </w:tc>
        <w:tc>
          <w:tcPr>
            <w:tcW w:w="5010" w:type="dxa"/>
            <w:vAlign w:val="center"/>
          </w:tcPr>
          <w:p w:rsidR="009264CB" w:rsidRPr="007262E4" w:rsidRDefault="009264CB" w:rsidP="007B23C5">
            <w:pPr>
              <w:rPr>
                <w:bCs/>
              </w:rPr>
            </w:pPr>
            <w:r>
              <w:t>Application made &amp; representations received</w:t>
            </w:r>
          </w:p>
        </w:tc>
      </w:tr>
      <w:tr w:rsidR="009264CB" w:rsidTr="007B23C5">
        <w:trPr>
          <w:trHeight w:val="313"/>
        </w:trPr>
        <w:tc>
          <w:tcPr>
            <w:tcW w:w="4596" w:type="dxa"/>
            <w:vAlign w:val="center"/>
          </w:tcPr>
          <w:p w:rsidR="009264CB" w:rsidRPr="000425D9" w:rsidRDefault="009264CB" w:rsidP="007B23C5">
            <w:pPr>
              <w:pStyle w:val="Heading7"/>
            </w:pPr>
            <w:r>
              <w:t>Licensing authority</w:t>
            </w:r>
          </w:p>
        </w:tc>
        <w:tc>
          <w:tcPr>
            <w:tcW w:w="5010" w:type="dxa"/>
            <w:vAlign w:val="center"/>
          </w:tcPr>
          <w:p w:rsidR="009264CB" w:rsidRDefault="009264CB" w:rsidP="007B23C5">
            <w:r>
              <w:t>No representations made</w:t>
            </w:r>
          </w:p>
        </w:tc>
      </w:tr>
    </w:tbl>
    <w:p w:rsidR="009264CB" w:rsidRDefault="009264CB" w:rsidP="007D2AB0"/>
    <w:p w:rsidR="009264CB" w:rsidRPr="006E76A2" w:rsidRDefault="009264CB" w:rsidP="009264CB">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9264CB" w:rsidRDefault="009264CB" w:rsidP="009264CB">
      <w:pPr>
        <w:ind w:left="426"/>
      </w:pPr>
      <w:r>
        <w:br/>
        <w:t>None</w:t>
      </w:r>
    </w:p>
    <w:p w:rsidR="007D2AB0" w:rsidRPr="007D2AB0" w:rsidRDefault="007D2AB0" w:rsidP="007D2AB0"/>
    <w:p w:rsidR="006A233E" w:rsidRDefault="006A233E">
      <w:pPr>
        <w:pStyle w:val="Heading1"/>
        <w:jc w:val="both"/>
      </w:pPr>
      <w:r>
        <w:t>Section 2 – Report</w:t>
      </w:r>
    </w:p>
    <w:p w:rsidR="00CB373D" w:rsidRPr="00CB373D" w:rsidRDefault="00CB373D" w:rsidP="00CB373D"/>
    <w:p w:rsidR="00CB373D" w:rsidRPr="00F04834" w:rsidRDefault="00CB373D" w:rsidP="00CB373D">
      <w:pPr>
        <w:pStyle w:val="BodyTextIndent"/>
        <w:numPr>
          <w:ilvl w:val="1"/>
          <w:numId w:val="10"/>
        </w:numPr>
        <w:spacing w:after="0"/>
        <w:ind w:left="358" w:hanging="919"/>
      </w:pPr>
      <w:r>
        <w:rPr>
          <w:rFonts w:cs="Arial"/>
        </w:rPr>
        <w:t xml:space="preserve">An application has been received on behalf of the Metropolitan Police Service to review the premises licence of Express Food &amp; Wine, 21 High Street, Wealdstone, HA3 5BY on the grounds of preventing crime and disorder (appendix 1). </w:t>
      </w:r>
    </w:p>
    <w:p w:rsidR="00CB373D" w:rsidRDefault="00CB373D" w:rsidP="00CB373D">
      <w:pPr>
        <w:pStyle w:val="ListParagraph"/>
        <w:ind w:left="0"/>
        <w:rPr>
          <w:u w:val="single"/>
        </w:rPr>
      </w:pPr>
    </w:p>
    <w:p w:rsidR="00CB373D" w:rsidRPr="00511A5D" w:rsidRDefault="00CB373D" w:rsidP="00CB373D">
      <w:pPr>
        <w:pStyle w:val="BodyTextIndent"/>
        <w:numPr>
          <w:ilvl w:val="1"/>
          <w:numId w:val="10"/>
        </w:numPr>
        <w:spacing w:after="0"/>
        <w:ind w:left="358" w:hanging="919"/>
      </w:pPr>
      <w:r w:rsidRPr="00AF395F">
        <w:rPr>
          <w:u w:val="single"/>
        </w:rPr>
        <w:t>Description of premises</w:t>
      </w:r>
      <w:r>
        <w:rPr>
          <w:u w:val="single"/>
        </w:rPr>
        <w:br/>
      </w:r>
      <w:r w:rsidRPr="00511A5D">
        <w:rPr>
          <w:rFonts w:cs="Calibri"/>
          <w:color w:val="000000"/>
          <w:lang w:eastAsia="en-GB"/>
        </w:rPr>
        <w:t xml:space="preserve">The premises are located on </w:t>
      </w:r>
      <w:r>
        <w:rPr>
          <w:rFonts w:cs="Calibri"/>
          <w:color w:val="000000"/>
          <w:lang w:eastAsia="en-GB"/>
        </w:rPr>
        <w:t>the busy shopping parade of High Street, Wealdstone</w:t>
      </w:r>
      <w:r w:rsidRPr="00511A5D">
        <w:rPr>
          <w:rFonts w:cs="Calibri"/>
          <w:color w:val="000000"/>
          <w:lang w:eastAsia="en-GB"/>
        </w:rPr>
        <w:t xml:space="preserve">.  The premises comprise </w:t>
      </w:r>
      <w:r>
        <w:rPr>
          <w:rFonts w:cs="Calibri"/>
          <w:color w:val="000000"/>
          <w:lang w:eastAsia="en-GB"/>
        </w:rPr>
        <w:t>a three storey building.  P</w:t>
      </w:r>
      <w:r w:rsidRPr="00511A5D">
        <w:rPr>
          <w:rFonts w:cs="Calibri"/>
          <w:color w:val="000000"/>
          <w:lang w:eastAsia="en-GB"/>
        </w:rPr>
        <w:t xml:space="preserve">rimarily, </w:t>
      </w:r>
      <w:r>
        <w:rPr>
          <w:rFonts w:cs="Calibri"/>
          <w:color w:val="000000"/>
          <w:lang w:eastAsia="en-GB"/>
        </w:rPr>
        <w:t xml:space="preserve">the </w:t>
      </w:r>
      <w:r w:rsidRPr="00511A5D">
        <w:rPr>
          <w:rFonts w:cs="Calibri"/>
          <w:color w:val="000000"/>
          <w:lang w:eastAsia="en-GB"/>
        </w:rPr>
        <w:t xml:space="preserve">ground floor </w:t>
      </w:r>
      <w:r>
        <w:rPr>
          <w:rFonts w:cs="Calibri"/>
          <w:color w:val="000000"/>
          <w:lang w:eastAsia="en-GB"/>
        </w:rPr>
        <w:t xml:space="preserve">is an off licence with grocery. </w:t>
      </w:r>
      <w:r w:rsidRPr="00511A5D">
        <w:rPr>
          <w:rFonts w:cs="Calibri"/>
          <w:color w:val="000000"/>
          <w:lang w:eastAsia="en-GB"/>
        </w:rPr>
        <w:t xml:space="preserve">   </w:t>
      </w:r>
    </w:p>
    <w:p w:rsidR="00CB373D" w:rsidRDefault="00CB373D" w:rsidP="00CB373D">
      <w:pPr>
        <w:pStyle w:val="ListParagraph"/>
      </w:pPr>
    </w:p>
    <w:p w:rsidR="00CB373D" w:rsidRDefault="00CB373D" w:rsidP="00CB373D">
      <w:pPr>
        <w:pStyle w:val="BodyTextIndent"/>
        <w:numPr>
          <w:ilvl w:val="1"/>
          <w:numId w:val="10"/>
        </w:numPr>
        <w:spacing w:after="0"/>
        <w:ind w:left="358" w:hanging="919"/>
      </w:pPr>
      <w:r>
        <w:t>An image of the premises and a location map are provided at appendix 2.</w:t>
      </w:r>
    </w:p>
    <w:p w:rsidR="00CB373D" w:rsidRDefault="00CB373D" w:rsidP="00CB373D">
      <w:pPr>
        <w:pStyle w:val="ListParagraph"/>
      </w:pPr>
    </w:p>
    <w:p w:rsidR="00CB373D" w:rsidRPr="00511A5D" w:rsidRDefault="00CB373D" w:rsidP="00CB373D">
      <w:pPr>
        <w:pStyle w:val="BodyTextIndent"/>
        <w:numPr>
          <w:ilvl w:val="1"/>
          <w:numId w:val="10"/>
        </w:numPr>
        <w:spacing w:after="0"/>
        <w:ind w:left="358" w:hanging="919"/>
        <w:rPr>
          <w:u w:val="single"/>
        </w:rPr>
      </w:pPr>
      <w:r>
        <w:rPr>
          <w:u w:val="single"/>
        </w:rPr>
        <w:t>Licensing history</w:t>
      </w:r>
      <w:r>
        <w:rPr>
          <w:u w:val="single"/>
        </w:rPr>
        <w:br/>
      </w:r>
      <w:r>
        <w:t xml:space="preserve">A premises licence was first granted on 30 December 2010.  The premises licence was transferred to the premises licence holder on 7 February 2013.  </w:t>
      </w:r>
    </w:p>
    <w:p w:rsidR="00CB373D" w:rsidRDefault="00CB373D" w:rsidP="00CB373D">
      <w:pPr>
        <w:pStyle w:val="ListParagraph"/>
        <w:rPr>
          <w:u w:val="single"/>
        </w:rPr>
      </w:pPr>
    </w:p>
    <w:p w:rsidR="00CB373D" w:rsidRDefault="00CB373D" w:rsidP="00CB373D">
      <w:pPr>
        <w:pStyle w:val="BodyTextIndent"/>
        <w:numPr>
          <w:ilvl w:val="1"/>
          <w:numId w:val="10"/>
        </w:numPr>
        <w:spacing w:after="0"/>
        <w:ind w:left="358" w:hanging="919"/>
      </w:pPr>
      <w:r>
        <w:t xml:space="preserve">The current premises licence and plan are attached at appendix 3.  </w:t>
      </w:r>
    </w:p>
    <w:p w:rsidR="00CB373D" w:rsidRDefault="00CB373D" w:rsidP="00CB373D">
      <w:pPr>
        <w:pStyle w:val="BodyTextIndent"/>
      </w:pPr>
    </w:p>
    <w:p w:rsidR="00CB373D" w:rsidRDefault="00CB373D" w:rsidP="00CB373D">
      <w:pPr>
        <w:pStyle w:val="BodyTextIndent"/>
        <w:numPr>
          <w:ilvl w:val="1"/>
          <w:numId w:val="10"/>
        </w:numPr>
        <w:spacing w:after="0"/>
        <w:ind w:left="358" w:hanging="919"/>
      </w:pPr>
      <w:r w:rsidRPr="0082321C">
        <w:rPr>
          <w:u w:val="single"/>
        </w:rPr>
        <w:t>Details of the application</w:t>
      </w:r>
      <w:r w:rsidRPr="0082321C">
        <w:rPr>
          <w:u w:val="single"/>
        </w:rPr>
        <w:br/>
      </w:r>
      <w:r>
        <w:t>Received:  29 March 2019</w:t>
      </w:r>
      <w:r>
        <w:br/>
        <w:t>The application has been advertised in accordance with the prescribed regulations.</w:t>
      </w:r>
    </w:p>
    <w:p w:rsidR="00CB373D" w:rsidRDefault="00CB373D" w:rsidP="00CB373D">
      <w:pPr>
        <w:pStyle w:val="BodyTextIndent"/>
        <w:ind w:left="0"/>
      </w:pPr>
    </w:p>
    <w:p w:rsidR="00CB373D" w:rsidRPr="00AE65A4" w:rsidRDefault="00CB373D" w:rsidP="00CB373D">
      <w:pPr>
        <w:pStyle w:val="BodyTextIndent"/>
        <w:numPr>
          <w:ilvl w:val="1"/>
          <w:numId w:val="12"/>
        </w:numPr>
        <w:spacing w:after="0"/>
        <w:ind w:left="358" w:hanging="919"/>
        <w:rPr>
          <w:u w:val="single"/>
        </w:rPr>
      </w:pPr>
      <w:r w:rsidRPr="002F633F">
        <w:rPr>
          <w:u w:val="single"/>
        </w:rPr>
        <w:t>Representations</w:t>
      </w:r>
      <w:r w:rsidRPr="002F633F">
        <w:rPr>
          <w:u w:val="single"/>
        </w:rPr>
        <w:br/>
      </w:r>
      <w:r>
        <w:t xml:space="preserve">There have been two representations.  Both are from responsible authorities.  One from the Metropolitan Police Service and the other from Trading Standards. </w:t>
      </w:r>
    </w:p>
    <w:p w:rsidR="00CB373D" w:rsidRPr="00AE65A4" w:rsidRDefault="00CB373D" w:rsidP="00CB373D">
      <w:pPr>
        <w:pStyle w:val="BodyTextIndent"/>
        <w:ind w:left="358"/>
        <w:rPr>
          <w:u w:val="single"/>
        </w:rPr>
      </w:pPr>
    </w:p>
    <w:p w:rsidR="00CB373D" w:rsidRPr="0038786F" w:rsidRDefault="00CB373D" w:rsidP="00CB373D">
      <w:pPr>
        <w:pStyle w:val="BodyTextIndent"/>
        <w:numPr>
          <w:ilvl w:val="1"/>
          <w:numId w:val="12"/>
        </w:numPr>
        <w:spacing w:after="0"/>
        <w:ind w:left="358" w:hanging="919"/>
        <w:rPr>
          <w:u w:val="single"/>
        </w:rPr>
      </w:pPr>
      <w:r>
        <w:rPr>
          <w:u w:val="single"/>
        </w:rPr>
        <w:lastRenderedPageBreak/>
        <w:t>Officer observations</w:t>
      </w:r>
      <w:r w:rsidRPr="0038786F">
        <w:rPr>
          <w:u w:val="single"/>
        </w:rPr>
        <w:br/>
      </w:r>
      <w:r>
        <w:t xml:space="preserve">The application describes how during several visits by the police, the licensee has not been able to uphold the licensing objective for the prevention of crime and disorder.  The application shows breaches of licence conditions, the keeping of smuggled goods and immigration offences.  The application also shows how the police have tried to work with the licensee to ensure that he upholds the licensing objectives and comply with the conditions of the premises licence.   </w:t>
      </w:r>
    </w:p>
    <w:p w:rsidR="00CB373D" w:rsidRPr="0038786F" w:rsidRDefault="00CB373D" w:rsidP="00CB373D">
      <w:pPr>
        <w:pStyle w:val="BodyTextIndent"/>
        <w:ind w:left="0"/>
        <w:rPr>
          <w:u w:val="single"/>
        </w:rPr>
      </w:pPr>
    </w:p>
    <w:p w:rsidR="00CB373D" w:rsidRPr="002F633F" w:rsidRDefault="00CB373D" w:rsidP="00CB373D">
      <w:pPr>
        <w:pStyle w:val="BodyTextIndent"/>
        <w:numPr>
          <w:ilvl w:val="1"/>
          <w:numId w:val="12"/>
        </w:numPr>
        <w:spacing w:after="0"/>
        <w:ind w:left="358" w:hanging="919"/>
        <w:rPr>
          <w:rFonts w:cs="Arial"/>
          <w:color w:val="000000"/>
        </w:rPr>
      </w:pPr>
      <w:r w:rsidRPr="002F633F">
        <w:rPr>
          <w:u w:val="single"/>
        </w:rPr>
        <w:t>Statutory guidance</w:t>
      </w:r>
      <w:r w:rsidRPr="002F633F">
        <w:rPr>
          <w:u w:val="single"/>
        </w:rPr>
        <w:br/>
      </w:r>
      <w:r w:rsidRPr="002F633F">
        <w:t xml:space="preserve">The following passages and paragraphs of the statutory guidance issued by the Secretary of State </w:t>
      </w:r>
      <w:r>
        <w:t xml:space="preserve">in April 2018 </w:t>
      </w:r>
      <w:r w:rsidRPr="002F633F">
        <w:t>are relevant to this application.</w:t>
      </w:r>
    </w:p>
    <w:p w:rsidR="00CB373D" w:rsidRPr="002F633F" w:rsidRDefault="00CB373D" w:rsidP="00CB373D">
      <w:pPr>
        <w:pStyle w:val="ListParagraph"/>
      </w:pPr>
    </w:p>
    <w:p w:rsidR="00CB373D" w:rsidRDefault="00CB373D" w:rsidP="00CB373D">
      <w:pPr>
        <w:pStyle w:val="BodyTextIndent"/>
        <w:numPr>
          <w:ilvl w:val="1"/>
          <w:numId w:val="12"/>
        </w:numPr>
        <w:spacing w:after="0"/>
        <w:ind w:left="358" w:hanging="919"/>
        <w:rPr>
          <w:rFonts w:cs="Arial"/>
          <w:color w:val="000000"/>
        </w:rPr>
      </w:pPr>
      <w:r>
        <w:t xml:space="preserve">Paragraph 11.10 of the guidance refers to good practice for responsible authorities to engage with premises to resolve concerns at an early stage without the need for formal action such as a review.    </w:t>
      </w:r>
    </w:p>
    <w:p w:rsidR="00CB373D" w:rsidRDefault="00CB373D" w:rsidP="00CB373D">
      <w:pPr>
        <w:pStyle w:val="ListParagraph"/>
      </w:pPr>
    </w:p>
    <w:p w:rsidR="00CB373D" w:rsidRPr="00B50B56" w:rsidRDefault="00CB373D" w:rsidP="00CB373D">
      <w:pPr>
        <w:pStyle w:val="BodyTextIndent"/>
        <w:numPr>
          <w:ilvl w:val="1"/>
          <w:numId w:val="12"/>
        </w:numPr>
        <w:spacing w:after="0"/>
        <w:ind w:left="358" w:hanging="919"/>
        <w:rPr>
          <w:rFonts w:cs="Arial"/>
          <w:color w:val="000000"/>
        </w:rPr>
      </w:pPr>
      <w:r>
        <w:t>Paragraph 11.20 of the guidance refers to the need for licensing authorities to ensure remedial action should be addressed to the causes identified in the application or representations, and that decisions must be appropriate and proportionate to those concerns.</w:t>
      </w:r>
    </w:p>
    <w:p w:rsidR="00CB373D" w:rsidRPr="00B50B56" w:rsidRDefault="00CB373D" w:rsidP="00CB373D">
      <w:pPr>
        <w:pStyle w:val="BodyTextIndent"/>
        <w:rPr>
          <w:rFonts w:cs="Arial"/>
          <w:color w:val="000000"/>
        </w:rPr>
      </w:pPr>
    </w:p>
    <w:p w:rsidR="00CB373D" w:rsidRPr="00B50B56" w:rsidRDefault="00CB373D" w:rsidP="00CB373D">
      <w:pPr>
        <w:pStyle w:val="BodyTextIndent"/>
        <w:numPr>
          <w:ilvl w:val="1"/>
          <w:numId w:val="12"/>
        </w:numPr>
        <w:spacing w:after="0"/>
        <w:ind w:left="358" w:hanging="919"/>
        <w:rPr>
          <w:color w:val="000000"/>
        </w:rPr>
      </w:pPr>
      <w:r w:rsidRPr="00B50B56">
        <w:rPr>
          <w:rFonts w:cs="Arial"/>
          <w:color w:val="000000"/>
        </w:rPr>
        <w:t>Paragraph 1</w:t>
      </w:r>
      <w:r>
        <w:rPr>
          <w:rFonts w:cs="Arial"/>
          <w:color w:val="000000"/>
        </w:rPr>
        <w:t>1</w:t>
      </w:r>
      <w:r w:rsidRPr="00B50B56">
        <w:rPr>
          <w:rFonts w:cs="Arial"/>
          <w:color w:val="000000"/>
        </w:rPr>
        <w:t>.27 and 11.28</w:t>
      </w:r>
      <w:r>
        <w:rPr>
          <w:rFonts w:cs="Arial"/>
          <w:color w:val="000000"/>
        </w:rPr>
        <w:t xml:space="preserve"> of the guidance</w:t>
      </w:r>
      <w:r w:rsidRPr="00B50B56">
        <w:rPr>
          <w:rFonts w:cs="Arial"/>
          <w:color w:val="000000"/>
        </w:rPr>
        <w:t xml:space="preserve"> refers to criminal activity arising from licensed premises which should be treated particularly seriously.  This i</w:t>
      </w:r>
      <w:r>
        <w:rPr>
          <w:rFonts w:cs="Arial"/>
          <w:color w:val="000000"/>
        </w:rPr>
        <w:t>nclude</w:t>
      </w:r>
      <w:r w:rsidRPr="00B50B56">
        <w:rPr>
          <w:rFonts w:cs="Arial"/>
          <w:color w:val="000000"/>
        </w:rPr>
        <w:t>s the use of licensed premises for employing a person who is disqualified from that work by reason of their immigration status in the U.K. and for the sale or storage of smuggled tobacco or alcohol.  Paragraph 11.28 states: “</w:t>
      </w:r>
      <w:r w:rsidRPr="00B50B56">
        <w:rPr>
          <w:color w:val="000000"/>
        </w:rPr>
        <w:t>It is envisaged that licensing authorities, the police, the Home Office (Immigration Enforcement) and other law enforcement agencies, which are responsible authorities, will use the review procedures effectively to deter such activities and crime. Where reviews arise and the licensing authority determines that the crime prevention objective is being undermined through the premises being used to further crimes, it is expected that revocation of the licence – even in the first instance – should be seriously considered</w:t>
      </w:r>
      <w:r>
        <w:rPr>
          <w:color w:val="000000"/>
        </w:rPr>
        <w:t>”</w:t>
      </w:r>
      <w:r w:rsidRPr="00B50B56">
        <w:rPr>
          <w:color w:val="000000"/>
        </w:rPr>
        <w:t xml:space="preserve">. </w:t>
      </w:r>
    </w:p>
    <w:p w:rsidR="00CB373D" w:rsidRDefault="00CB373D" w:rsidP="00CB373D">
      <w:pPr>
        <w:pStyle w:val="ListParagraph"/>
        <w:rPr>
          <w:color w:val="000000"/>
          <w:u w:val="single"/>
        </w:rPr>
      </w:pPr>
    </w:p>
    <w:p w:rsidR="00CB373D" w:rsidRPr="00D61CF2" w:rsidRDefault="00CB373D" w:rsidP="00CB373D">
      <w:pPr>
        <w:pStyle w:val="BodyTextIndent"/>
        <w:numPr>
          <w:ilvl w:val="1"/>
          <w:numId w:val="12"/>
        </w:numPr>
        <w:spacing w:after="0"/>
        <w:ind w:left="358" w:hanging="919"/>
        <w:rPr>
          <w:rFonts w:cs="Arial"/>
          <w:color w:val="000000"/>
        </w:rPr>
      </w:pPr>
      <w:r w:rsidRPr="00D61CF2">
        <w:rPr>
          <w:color w:val="000000"/>
          <w:u w:val="single"/>
        </w:rPr>
        <w:t xml:space="preserve">Licensing policy </w:t>
      </w:r>
      <w:r>
        <w:br/>
        <w:t>The Panel will bear in mind appendix 1 to the statement of licensing policy, attached to this report at appendix 5. The Panel has discretion to depart from the guidelines, which are designed with consistency and transparency of decision-making in mind.</w:t>
      </w:r>
    </w:p>
    <w:p w:rsidR="00CB373D" w:rsidRDefault="00CB373D" w:rsidP="00CB373D">
      <w:pPr>
        <w:pStyle w:val="ListParagraph"/>
        <w:rPr>
          <w:color w:val="000000"/>
          <w:u w:val="single"/>
        </w:rPr>
      </w:pPr>
    </w:p>
    <w:p w:rsidR="00CB373D" w:rsidRPr="00AE65A4" w:rsidRDefault="00CB373D" w:rsidP="00CB373D">
      <w:pPr>
        <w:pStyle w:val="BodyTextIndent"/>
        <w:numPr>
          <w:ilvl w:val="1"/>
          <w:numId w:val="12"/>
        </w:numPr>
        <w:spacing w:after="0"/>
        <w:ind w:left="358" w:hanging="919"/>
        <w:rPr>
          <w:rFonts w:cs="Arial"/>
          <w:color w:val="000000"/>
        </w:rPr>
      </w:pPr>
      <w:r w:rsidRPr="00D61CF2">
        <w:rPr>
          <w:color w:val="000000"/>
          <w:u w:val="single"/>
        </w:rPr>
        <w:t>Legal implications</w:t>
      </w:r>
      <w:r w:rsidRPr="00D61CF2">
        <w:rPr>
          <w:color w:val="000000"/>
          <w:u w:val="single"/>
        </w:rPr>
        <w:br/>
      </w:r>
      <w:r w:rsidRPr="00AE65A4">
        <w:rPr>
          <w:color w:val="000000"/>
        </w:rPr>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 xml:space="preserve">The hearing must be held in accordance with the Licensing Act 2003 (Hearings) Regulations 2005. </w:t>
      </w:r>
    </w:p>
    <w:p w:rsidR="00CB373D" w:rsidRDefault="00CB373D" w:rsidP="00CB373D">
      <w:pPr>
        <w:pStyle w:val="ListParagraph"/>
      </w:pPr>
    </w:p>
    <w:p w:rsidR="00CB373D" w:rsidRDefault="00CB373D" w:rsidP="00CB373D">
      <w:pPr>
        <w:pStyle w:val="BodyTextIndent"/>
        <w:numPr>
          <w:ilvl w:val="1"/>
          <w:numId w:val="12"/>
        </w:numPr>
        <w:spacing w:after="0"/>
        <w:ind w:left="358" w:hanging="919"/>
        <w:rPr>
          <w:rFonts w:cs="Arial"/>
          <w:color w:val="000000"/>
        </w:rPr>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w:t>
      </w:r>
      <w:r w:rsidRPr="006E76A2">
        <w:lastRenderedPageBreak/>
        <w:t xml:space="preserve">Licensing Act 2003, the Council’s statement of licensing policy and the steps </w:t>
      </w:r>
      <w:r>
        <w:t xml:space="preserve">(if any) </w:t>
      </w:r>
      <w:r w:rsidRPr="006E76A2">
        <w:t xml:space="preserve">that are </w:t>
      </w:r>
      <w:r>
        <w:t>appropriate</w:t>
      </w:r>
      <w:r w:rsidRPr="006E76A2">
        <w:t xml:space="preserve"> to promote the four licensing objectives. </w:t>
      </w:r>
    </w:p>
    <w:p w:rsidR="00CB373D" w:rsidRPr="00F855BA" w:rsidRDefault="00CB373D" w:rsidP="00CB373D">
      <w:pPr>
        <w:pStyle w:val="BodyTextIndent"/>
        <w:ind w:left="0"/>
        <w:rPr>
          <w:rFonts w:cs="Arial"/>
          <w:color w:val="000000"/>
        </w:rPr>
      </w:pPr>
    </w:p>
    <w:p w:rsidR="00CB373D" w:rsidRPr="00D61CF2" w:rsidRDefault="00CB373D" w:rsidP="00CB373D">
      <w:pPr>
        <w:pStyle w:val="BodyTextIndent"/>
        <w:numPr>
          <w:ilvl w:val="1"/>
          <w:numId w:val="12"/>
        </w:numPr>
        <w:spacing w:after="0"/>
        <w:ind w:left="358" w:hanging="919"/>
        <w:rPr>
          <w:rFonts w:cs="Arial"/>
          <w:color w:val="000000"/>
        </w:rPr>
      </w:pPr>
      <w:r>
        <w:t>H</w:t>
      </w:r>
      <w:r w:rsidRPr="006E76A2">
        <w:t>aving considered those relevant matters, the Licensing Panel</w:t>
      </w:r>
      <w:r>
        <w:t xml:space="preserve"> </w:t>
      </w:r>
      <w:r w:rsidRPr="006E76A2">
        <w:t xml:space="preserve"> </w:t>
      </w:r>
      <w:r>
        <w:t xml:space="preserve">can take such </w:t>
      </w:r>
      <w:r w:rsidRPr="006E76A2">
        <w:t xml:space="preserve">of </w:t>
      </w:r>
      <w:r>
        <w:t xml:space="preserve">the </w:t>
      </w:r>
      <w:r w:rsidRPr="006E76A2">
        <w:t xml:space="preserve">following steps </w:t>
      </w:r>
      <w:r>
        <w:t xml:space="preserve">(if any) </w:t>
      </w:r>
      <w:r w:rsidRPr="006E76A2">
        <w:t xml:space="preserve">as it considers </w:t>
      </w:r>
      <w:r>
        <w:t>appropriate</w:t>
      </w:r>
      <w:r w:rsidRPr="006E76A2">
        <w:t xml:space="preserve"> for the promotion of the licensing objectives –</w:t>
      </w:r>
    </w:p>
    <w:p w:rsidR="00CB373D" w:rsidRDefault="00CB373D" w:rsidP="00CB373D">
      <w:pPr>
        <w:pStyle w:val="ListParagraph"/>
      </w:pPr>
    </w:p>
    <w:p w:rsidR="00CB373D" w:rsidRPr="009B0A0D" w:rsidRDefault="00CB373D" w:rsidP="00CB373D">
      <w:pPr>
        <w:spacing w:after="120"/>
        <w:ind w:right="667"/>
        <w:jc w:val="both"/>
      </w:pPr>
      <w:r w:rsidRPr="009B0A0D">
        <w:tab/>
        <w:t xml:space="preserve">1.  </w:t>
      </w:r>
      <w:r>
        <w:t>t</w:t>
      </w:r>
      <w:r w:rsidRPr="009B0A0D">
        <w:t xml:space="preserve">o modify the conditions of the </w:t>
      </w:r>
      <w:r>
        <w:t>l</w:t>
      </w:r>
      <w:r w:rsidRPr="009B0A0D">
        <w:t>icence</w:t>
      </w:r>
      <w:r>
        <w:t>;</w:t>
      </w:r>
    </w:p>
    <w:p w:rsidR="00CB373D" w:rsidRPr="009B0A0D" w:rsidRDefault="00CB373D" w:rsidP="00CB373D">
      <w:pPr>
        <w:spacing w:after="120"/>
        <w:ind w:right="667"/>
        <w:jc w:val="both"/>
      </w:pPr>
      <w:r w:rsidRPr="009B0A0D">
        <w:tab/>
        <w:t xml:space="preserve">2.  </w:t>
      </w:r>
      <w:r>
        <w:t>t</w:t>
      </w:r>
      <w:r w:rsidRPr="009B0A0D">
        <w:t xml:space="preserve">o </w:t>
      </w:r>
      <w:r>
        <w:t>exclude any of the</w:t>
      </w:r>
      <w:r w:rsidRPr="009B0A0D">
        <w:t xml:space="preserve"> lic</w:t>
      </w:r>
      <w:r>
        <w:t>ensable activities</w:t>
      </w:r>
      <w:r w:rsidRPr="009B0A0D">
        <w:t xml:space="preserve"> from the scope of the licence;</w:t>
      </w:r>
    </w:p>
    <w:p w:rsidR="00CB373D" w:rsidRPr="009B0A0D" w:rsidRDefault="00CB373D" w:rsidP="00CB373D">
      <w:pPr>
        <w:spacing w:after="120"/>
        <w:ind w:right="667"/>
        <w:jc w:val="both"/>
      </w:pPr>
      <w:r w:rsidRPr="009B0A0D">
        <w:tab/>
        <w:t xml:space="preserve">3.  </w:t>
      </w:r>
      <w:r>
        <w:t>t</w:t>
      </w:r>
      <w:r w:rsidRPr="009B0A0D">
        <w:t xml:space="preserve">o remove the designated premises supervisor; </w:t>
      </w:r>
    </w:p>
    <w:p w:rsidR="00CB373D" w:rsidRPr="009B0A0D" w:rsidRDefault="00CB373D" w:rsidP="00CB373D">
      <w:pPr>
        <w:spacing w:after="120"/>
        <w:ind w:right="667"/>
        <w:jc w:val="both"/>
      </w:pPr>
      <w:r w:rsidRPr="009B0A0D">
        <w:tab/>
        <w:t xml:space="preserve">4. </w:t>
      </w:r>
      <w:r>
        <w:t>t</w:t>
      </w:r>
      <w:r w:rsidRPr="009B0A0D">
        <w:t>o suspend the licence for a period not exceeding 3 months;</w:t>
      </w:r>
    </w:p>
    <w:p w:rsidR="00CB373D" w:rsidRDefault="00CB373D" w:rsidP="00CB373D">
      <w:pPr>
        <w:spacing w:after="120"/>
        <w:ind w:right="667"/>
        <w:jc w:val="both"/>
      </w:pPr>
      <w:r w:rsidRPr="009B0A0D">
        <w:tab/>
        <w:t xml:space="preserve">5.  </w:t>
      </w:r>
      <w:r>
        <w:t>to revoke the licence</w:t>
      </w:r>
    </w:p>
    <w:p w:rsidR="00CB373D" w:rsidRDefault="00CB373D" w:rsidP="00CB373D">
      <w:pPr>
        <w:spacing w:after="120"/>
        <w:ind w:left="426" w:right="667"/>
        <w:jc w:val="both"/>
      </w:pPr>
      <w:r w:rsidRPr="009B0A0D">
        <w:t xml:space="preserve">and for this purpose the conditions of the licence are modified if any of them </w:t>
      </w:r>
      <w:r>
        <w:t>are</w:t>
      </w:r>
      <w:r w:rsidRPr="009B0A0D">
        <w:t xml:space="preserve"> altered or omitted or any new condition added.</w:t>
      </w:r>
    </w:p>
    <w:p w:rsidR="00CB373D" w:rsidRPr="00ED48FF" w:rsidRDefault="00CB373D" w:rsidP="00CB373D">
      <w:pPr>
        <w:numPr>
          <w:ilvl w:val="1"/>
          <w:numId w:val="12"/>
        </w:numPr>
        <w:spacing w:after="120"/>
        <w:ind w:right="667" w:hanging="927"/>
        <w:jc w:val="both"/>
      </w:pPr>
      <w:r>
        <w:t xml:space="preserve">If the Panel takes a step mentioned in 1 or 2 of paragraph 2.13 above, it can specify that the modification or exclusion is to have effect for a period up to three months if it considers this to be appropriate.  </w:t>
      </w:r>
    </w:p>
    <w:p w:rsidR="00CB373D" w:rsidRPr="008002C3" w:rsidRDefault="00CB373D" w:rsidP="00CB373D">
      <w:pPr>
        <w:numPr>
          <w:ilvl w:val="1"/>
          <w:numId w:val="12"/>
        </w:numPr>
        <w:spacing w:after="120"/>
        <w:ind w:right="667" w:hanging="927"/>
        <w:jc w:val="both"/>
      </w:pPr>
      <w:r w:rsidRPr="006E76A2">
        <w:t>It should be noted that –</w:t>
      </w:r>
    </w:p>
    <w:p w:rsidR="00CB373D" w:rsidRPr="006E76A2" w:rsidRDefault="00CB373D" w:rsidP="00CB373D">
      <w:pPr>
        <w:numPr>
          <w:ilvl w:val="0"/>
          <w:numId w:val="11"/>
        </w:numPr>
        <w:ind w:left="851" w:right="142" w:hanging="284"/>
        <w:jc w:val="both"/>
      </w:pPr>
      <w:r>
        <w:t>c</w:t>
      </w:r>
      <w:r w:rsidRPr="006E76A2">
        <w:t xml:space="preserve">lear reasons </w:t>
      </w:r>
      <w:r>
        <w:t>must be given for the decision;</w:t>
      </w:r>
    </w:p>
    <w:p w:rsidR="00CB373D" w:rsidRPr="006E76A2" w:rsidRDefault="00CB373D" w:rsidP="00CB373D">
      <w:pPr>
        <w:numPr>
          <w:ilvl w:val="0"/>
          <w:numId w:val="11"/>
        </w:numPr>
        <w:ind w:left="851" w:right="142" w:hanging="284"/>
        <w:jc w:val="both"/>
      </w:pPr>
      <w:r>
        <w:t>a</w:t>
      </w:r>
      <w:r w:rsidRPr="006E76A2">
        <w:t xml:space="preserve">ny additional or modified conditions should be </w:t>
      </w:r>
      <w:r>
        <w:t>practicable</w:t>
      </w:r>
      <w:r w:rsidRPr="006E76A2">
        <w:t xml:space="preserve"> and enforceable</w:t>
      </w:r>
      <w:r>
        <w:t>;</w:t>
      </w:r>
    </w:p>
    <w:p w:rsidR="00CB373D" w:rsidRDefault="00CB373D" w:rsidP="00CB373D">
      <w:pPr>
        <w:numPr>
          <w:ilvl w:val="0"/>
          <w:numId w:val="11"/>
        </w:numPr>
        <w:ind w:left="851" w:right="142" w:hanging="284"/>
        <w:jc w:val="both"/>
      </w:pPr>
      <w:r>
        <w:t>the applicant for the review, the premises licence holder</w:t>
      </w:r>
      <w:r w:rsidRPr="006E76A2">
        <w:t xml:space="preserve"> and any person who made relevant representations would have the right of appeal to a magistrates’ court on </w:t>
      </w:r>
      <w:r>
        <w:t>one of the grounds provided in s</w:t>
      </w:r>
      <w:r w:rsidRPr="006E76A2">
        <w:t>chedule 5 to the Licensing Act 2003</w:t>
      </w:r>
      <w:r>
        <w:t>.</w:t>
      </w:r>
    </w:p>
    <w:p w:rsidR="00CB373D" w:rsidRDefault="00CB373D" w:rsidP="00CB373D">
      <w:pPr>
        <w:ind w:left="851" w:right="142"/>
        <w:jc w:val="both"/>
      </w:pPr>
    </w:p>
    <w:p w:rsidR="00CB373D" w:rsidRDefault="00CB373D" w:rsidP="00CB373D">
      <w:pPr>
        <w:ind w:left="358" w:right="142" w:hanging="919"/>
        <w:jc w:val="both"/>
      </w:pPr>
      <w:r>
        <w:t>3.13</w:t>
      </w:r>
      <w:r>
        <w:tab/>
        <w:t>In addition to determining the application in accordance with the legislation, Members must have regard to the –</w:t>
      </w:r>
    </w:p>
    <w:p w:rsidR="00CB373D" w:rsidRDefault="00CB373D" w:rsidP="00CB373D">
      <w:pPr>
        <w:ind w:left="561" w:right="667"/>
        <w:jc w:val="both"/>
      </w:pPr>
    </w:p>
    <w:p w:rsidR="00CB373D" w:rsidRDefault="00CB373D" w:rsidP="00CB373D">
      <w:pPr>
        <w:pStyle w:val="ListNumber"/>
        <w:numPr>
          <w:ilvl w:val="0"/>
          <w:numId w:val="9"/>
        </w:numPr>
        <w:tabs>
          <w:tab w:val="clear" w:pos="2216"/>
          <w:tab w:val="num" w:pos="993"/>
        </w:tabs>
        <w:spacing w:after="0"/>
        <w:ind w:left="992" w:hanging="425"/>
      </w:pPr>
      <w:r>
        <w:rPr>
          <w:rFonts w:cs="Arial"/>
        </w:rPr>
        <w:t xml:space="preserve">common law rules of natural justice (i.e. ensuring a fair and unbiased hearing </w:t>
      </w:r>
      <w:proofErr w:type="spellStart"/>
      <w:r>
        <w:rPr>
          <w:rFonts w:cs="Arial"/>
        </w:rPr>
        <w:t>etc</w:t>
      </w:r>
      <w:proofErr w:type="spellEnd"/>
      <w:r>
        <w:rPr>
          <w:rFonts w:cs="Arial"/>
        </w:rPr>
        <w:t>);</w:t>
      </w:r>
    </w:p>
    <w:p w:rsidR="00CB373D" w:rsidRDefault="00CB373D" w:rsidP="00CB373D">
      <w:pPr>
        <w:pStyle w:val="ListNumber"/>
        <w:numPr>
          <w:ilvl w:val="0"/>
          <w:numId w:val="9"/>
        </w:numPr>
        <w:tabs>
          <w:tab w:val="clear" w:pos="2216"/>
          <w:tab w:val="num" w:pos="993"/>
        </w:tabs>
        <w:spacing w:after="0"/>
        <w:ind w:left="992" w:hanging="425"/>
      </w:pPr>
      <w:r>
        <w:t>provisions of the Human Rights Act 1998;</w:t>
      </w:r>
    </w:p>
    <w:p w:rsidR="00CB373D" w:rsidRDefault="00CB373D" w:rsidP="00CB373D">
      <w:pPr>
        <w:pStyle w:val="ListNumber"/>
        <w:numPr>
          <w:ilvl w:val="0"/>
          <w:numId w:val="9"/>
        </w:numPr>
        <w:tabs>
          <w:tab w:val="clear" w:pos="2216"/>
          <w:tab w:val="num" w:pos="993"/>
        </w:tabs>
        <w:spacing w:after="0"/>
        <w:ind w:left="992" w:hanging="425"/>
      </w:pPr>
      <w:r>
        <w:t>considerations in section 17 of the Crime and Disorder Act 1998.</w:t>
      </w:r>
    </w:p>
    <w:p w:rsidR="00CB373D" w:rsidRDefault="00CB373D" w:rsidP="00CB373D">
      <w:pPr>
        <w:pStyle w:val="ListNumber"/>
        <w:numPr>
          <w:ilvl w:val="0"/>
          <w:numId w:val="0"/>
        </w:numPr>
        <w:spacing w:after="0"/>
        <w:ind w:left="992"/>
      </w:pPr>
    </w:p>
    <w:p w:rsidR="00CB373D" w:rsidRDefault="00CB373D" w:rsidP="00CB373D">
      <w:pPr>
        <w:pStyle w:val="ListNumber"/>
        <w:numPr>
          <w:ilvl w:val="0"/>
          <w:numId w:val="0"/>
        </w:numPr>
        <w:spacing w:after="0"/>
        <w:ind w:left="358" w:hanging="919"/>
      </w:pPr>
      <w:r>
        <w:t>3.14</w:t>
      </w:r>
      <w:r>
        <w:tab/>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CB373D">
      <w:pPr>
        <w:pStyle w:val="ListNumber"/>
        <w:numPr>
          <w:ilvl w:val="0"/>
          <w:numId w:val="0"/>
        </w:numPr>
        <w:spacing w:after="0"/>
        <w:ind w:left="358" w:hanging="919"/>
      </w:pPr>
    </w:p>
    <w:p w:rsidR="00CB373D" w:rsidRDefault="00CB373D" w:rsidP="00CB373D">
      <w:pPr>
        <w:pStyle w:val="ListNumber"/>
        <w:numPr>
          <w:ilvl w:val="0"/>
          <w:numId w:val="0"/>
        </w:numPr>
        <w:spacing w:after="0"/>
        <w:ind w:left="358" w:hanging="919"/>
      </w:pPr>
      <w:r>
        <w:t>3.15</w:t>
      </w:r>
      <w:r>
        <w:tab/>
      </w:r>
      <w:bookmarkStart w:id="0" w:name="LastEdit"/>
      <w:bookmarkEnd w:id="0"/>
      <w:r>
        <w:t>The Panel, when exercising its powers, must consider section 17 of the Crime and Disorder Act 1998 which states:</w:t>
      </w:r>
    </w:p>
    <w:p w:rsidR="00CB373D" w:rsidRDefault="00CB373D" w:rsidP="00CB373D">
      <w:pPr>
        <w:tabs>
          <w:tab w:val="left" w:pos="426"/>
        </w:tabs>
        <w:ind w:left="567" w:right="142"/>
        <w:jc w:val="both"/>
      </w:pPr>
    </w:p>
    <w:p w:rsidR="00CB373D" w:rsidRDefault="00CB373D" w:rsidP="00CB373D">
      <w:pPr>
        <w:ind w:left="567" w:right="1238"/>
        <w:jc w:val="both"/>
      </w:pPr>
      <w:r>
        <w:t xml:space="preserve">‘without prejudice to any other obligation imposed on it, it shall be the duty of each authority to which this section applies to exercise its various functions with due regard to the likely effect of the exercise of those functions on, and the </w:t>
      </w:r>
      <w:r>
        <w:lastRenderedPageBreak/>
        <w:t>need to do all that it reasonably can to prevent, crime and disorder in its area.’</w:t>
      </w:r>
    </w:p>
    <w:p w:rsidR="00CB373D" w:rsidRDefault="00CB373D" w:rsidP="00CB373D">
      <w:pPr>
        <w:tabs>
          <w:tab w:val="left" w:pos="426"/>
        </w:tabs>
        <w:ind w:left="567" w:right="142"/>
        <w:jc w:val="both"/>
      </w:pPr>
    </w:p>
    <w:p w:rsidR="00CB373D" w:rsidRPr="006E76A2" w:rsidRDefault="00CB373D" w:rsidP="00CB373D">
      <w:pPr>
        <w:pStyle w:val="Heading2"/>
        <w:tabs>
          <w:tab w:val="left" w:pos="426"/>
        </w:tabs>
        <w:rPr>
          <w:i/>
        </w:rPr>
      </w:pPr>
      <w:r w:rsidRPr="006E76A2">
        <w:rPr>
          <w:i/>
        </w:rPr>
        <w:t>Financial Implications</w:t>
      </w:r>
    </w:p>
    <w:p w:rsidR="00CB373D" w:rsidRDefault="00CB373D" w:rsidP="00CB373D">
      <w:pPr>
        <w:tabs>
          <w:tab w:val="left" w:pos="426"/>
        </w:tabs>
        <w:ind w:left="567" w:right="142"/>
        <w:jc w:val="both"/>
      </w:pPr>
    </w:p>
    <w:p w:rsidR="00CB373D" w:rsidRDefault="00CB373D" w:rsidP="00CB373D">
      <w:pPr>
        <w:ind w:left="426" w:right="142" w:hanging="993"/>
        <w:jc w:val="both"/>
      </w:pPr>
      <w:r>
        <w:t>3.16</w:t>
      </w:r>
      <w:r>
        <w:tab/>
      </w:r>
      <w:r w:rsidRPr="006E76A2">
        <w:t xml:space="preserve">There are no financial implications. </w:t>
      </w:r>
    </w:p>
    <w:p w:rsidR="00CB373D" w:rsidRDefault="00CB373D" w:rsidP="00CB373D">
      <w:pPr>
        <w:tabs>
          <w:tab w:val="left" w:pos="426"/>
        </w:tabs>
        <w:ind w:left="567" w:right="142"/>
        <w:jc w:val="both"/>
      </w:pPr>
    </w:p>
    <w:p w:rsidR="00CB373D" w:rsidRDefault="00CB373D" w:rsidP="00CB373D">
      <w:pPr>
        <w:pStyle w:val="Heading2"/>
        <w:tabs>
          <w:tab w:val="left" w:pos="426"/>
        </w:tabs>
        <w:ind w:left="426" w:hanging="426"/>
        <w:rPr>
          <w:i/>
        </w:rPr>
      </w:pPr>
    </w:p>
    <w:p w:rsidR="00CB373D" w:rsidRPr="00ED48FF" w:rsidRDefault="00CB373D" w:rsidP="00CB373D">
      <w:pPr>
        <w:pStyle w:val="Heading2"/>
        <w:tabs>
          <w:tab w:val="left" w:pos="426"/>
        </w:tabs>
        <w:ind w:left="426" w:hanging="426"/>
        <w:rPr>
          <w:i/>
        </w:rPr>
      </w:pPr>
      <w:r w:rsidRPr="00ED48FF">
        <w:rPr>
          <w:i/>
        </w:rPr>
        <w:t>Appeals</w:t>
      </w:r>
    </w:p>
    <w:p w:rsidR="00CB373D" w:rsidRDefault="00CB373D" w:rsidP="00CB373D">
      <w:pPr>
        <w:tabs>
          <w:tab w:val="left" w:pos="426"/>
        </w:tabs>
        <w:ind w:right="142"/>
        <w:jc w:val="both"/>
      </w:pPr>
    </w:p>
    <w:p w:rsidR="00CB373D" w:rsidRPr="006E76A2" w:rsidRDefault="00CB373D" w:rsidP="00CB373D">
      <w:pPr>
        <w:tabs>
          <w:tab w:val="left" w:pos="426"/>
        </w:tabs>
        <w:ind w:left="426" w:right="142" w:hanging="993"/>
        <w:jc w:val="both"/>
      </w:pPr>
      <w:r>
        <w:t>3.17</w:t>
      </w:r>
      <w:r>
        <w:tab/>
      </w:r>
      <w:r w:rsidRPr="006E76A2">
        <w:t>If any party is aggrieved with the decision of the licensing panel on</w:t>
      </w:r>
      <w:r>
        <w:t xml:space="preserve"> one of the grounds set out in s</w:t>
      </w:r>
      <w:r w:rsidRPr="006E76A2">
        <w:t xml:space="preserve">chedule 5 to the Licensing </w:t>
      </w:r>
      <w:r>
        <w:t>Act 2003, they can appeal to a M</w:t>
      </w:r>
      <w:r w:rsidRPr="006E76A2">
        <w:t xml:space="preserve">agistrates’ </w:t>
      </w:r>
      <w:r>
        <w:t>Court within 2</w:t>
      </w:r>
      <w:r w:rsidRPr="006E76A2">
        <w:t xml:space="preserve">1 days from notification of the decision. </w:t>
      </w:r>
    </w:p>
    <w:p w:rsidR="006A233E" w:rsidRDefault="006A233E">
      <w:pPr>
        <w:rPr>
          <w:color w:val="0000FF"/>
        </w:rPr>
      </w:pPr>
    </w:p>
    <w:p w:rsidR="00911565" w:rsidRDefault="00911565">
      <w:pPr>
        <w:pStyle w:val="Heading1"/>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AE36F6">
            <w:pPr>
              <w:pStyle w:val="Infotext"/>
            </w:pPr>
            <w:r>
              <w:t>on behalf of the</w:t>
            </w:r>
          </w:p>
        </w:tc>
      </w:tr>
      <w:tr w:rsidR="006A233E">
        <w:tc>
          <w:tcPr>
            <w:tcW w:w="2791" w:type="pct"/>
            <w:tcBorders>
              <w:top w:val="nil"/>
              <w:bottom w:val="nil"/>
            </w:tcBorders>
          </w:tcPr>
          <w:p w:rsidR="006A233E" w:rsidRDefault="006A233E" w:rsidP="00EA1637">
            <w:pPr>
              <w:pStyle w:val="Infotext"/>
            </w:pPr>
            <w:r>
              <w:t>Name:</w:t>
            </w:r>
            <w:r w:rsidR="00EA1637">
              <w:t xml:space="preserve">  </w:t>
            </w:r>
            <w:r w:rsidR="00CB373D">
              <w:t>Jessie Man</w:t>
            </w:r>
          </w:p>
        </w:tc>
        <w:tc>
          <w:tcPr>
            <w:tcW w:w="138" w:type="pct"/>
            <w:tcBorders>
              <w:bottom w:val="single" w:sz="4" w:space="0" w:color="auto"/>
            </w:tcBorders>
          </w:tcPr>
          <w:p w:rsidR="006A233E" w:rsidRDefault="00CB373D">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tc>
          <w:tcPr>
            <w:tcW w:w="2791" w:type="pct"/>
            <w:tcBorders>
              <w:top w:val="nil"/>
              <w:right w:val="nil"/>
            </w:tcBorders>
          </w:tcPr>
          <w:p w:rsidR="006A233E" w:rsidRDefault="006A233E">
            <w:pPr>
              <w:pStyle w:val="Infotext"/>
            </w:pPr>
            <w:r>
              <w:t xml:space="preserve"> </w:t>
            </w:r>
          </w:p>
          <w:p w:rsidR="006A233E" w:rsidRDefault="006A233E" w:rsidP="00AE36F6">
            <w:pPr>
              <w:pStyle w:val="Infotext"/>
            </w:pPr>
            <w:r>
              <w:t xml:space="preserve">Date: </w:t>
            </w:r>
            <w:r w:rsidR="00EA1637">
              <w:t xml:space="preserve"> </w:t>
            </w:r>
            <w:r w:rsidR="00CB373D">
              <w:t>30.0</w:t>
            </w:r>
            <w:r w:rsidR="00AE36F6">
              <w:t>4</w:t>
            </w:r>
            <w:r w:rsidR="00CB373D">
              <w:t>.2019</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tc>
          <w:tcPr>
            <w:tcW w:w="2791"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AE36F6">
            <w:pPr>
              <w:pStyle w:val="Infotext"/>
            </w:pPr>
            <w:r>
              <w:t>on behalf of the</w:t>
            </w:r>
          </w:p>
        </w:tc>
      </w:tr>
      <w:tr w:rsidR="006A233E">
        <w:tc>
          <w:tcPr>
            <w:tcW w:w="2791" w:type="pct"/>
            <w:tcBorders>
              <w:top w:val="nil"/>
              <w:bottom w:val="nil"/>
            </w:tcBorders>
          </w:tcPr>
          <w:p w:rsidR="006A233E" w:rsidRDefault="006A233E" w:rsidP="00EA1637">
            <w:pPr>
              <w:pStyle w:val="Infotext"/>
            </w:pPr>
            <w:r>
              <w:t xml:space="preserve">Name: </w:t>
            </w:r>
            <w:r w:rsidR="00EA1637">
              <w:t xml:space="preserve"> </w:t>
            </w:r>
            <w:r w:rsidR="00CB373D">
              <w:t>Laurie Marks</w:t>
            </w:r>
          </w:p>
        </w:tc>
        <w:tc>
          <w:tcPr>
            <w:tcW w:w="138" w:type="pct"/>
            <w:tcBorders>
              <w:bottom w:val="single" w:sz="4" w:space="0" w:color="auto"/>
            </w:tcBorders>
          </w:tcPr>
          <w:p w:rsidR="006A233E" w:rsidRDefault="00CB373D">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tc>
          <w:tcPr>
            <w:tcW w:w="2791" w:type="pct"/>
            <w:tcBorders>
              <w:top w:val="nil"/>
              <w:right w:val="nil"/>
            </w:tcBorders>
          </w:tcPr>
          <w:p w:rsidR="006A233E" w:rsidRDefault="006A233E">
            <w:pPr>
              <w:pStyle w:val="Infotext"/>
            </w:pPr>
          </w:p>
          <w:p w:rsidR="006A233E" w:rsidRDefault="006A233E" w:rsidP="00EA1637">
            <w:pPr>
              <w:pStyle w:val="Infotext"/>
            </w:pPr>
            <w:r>
              <w:t xml:space="preserve">Date: </w:t>
            </w:r>
            <w:r w:rsidR="00EA1637">
              <w:t xml:space="preserve"> </w:t>
            </w:r>
            <w:r w:rsidR="00CB373D">
              <w:t>08.05.2019</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383"/>
        <w:gridCol w:w="234"/>
        <w:gridCol w:w="3597"/>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B43855" w:rsidP="003F4066">
            <w:pPr>
              <w:pStyle w:val="Infotext"/>
            </w:pPr>
          </w:p>
        </w:tc>
      </w:tr>
      <w:tr w:rsidR="00B43855" w:rsidTr="003F4066">
        <w:tc>
          <w:tcPr>
            <w:tcW w:w="4752" w:type="dxa"/>
            <w:tcBorders>
              <w:top w:val="nil"/>
              <w:bottom w:val="nil"/>
            </w:tcBorders>
          </w:tcPr>
          <w:p w:rsidR="00B43855" w:rsidRDefault="00B43855" w:rsidP="00EA1637">
            <w:pPr>
              <w:pStyle w:val="Infotext"/>
            </w:pPr>
            <w:r>
              <w:t xml:space="preserve">Name: </w:t>
            </w:r>
            <w:r w:rsidR="00EA1637">
              <w:t xml:space="preserve"> </w:t>
            </w:r>
            <w:r w:rsidR="00CB373D">
              <w:t>Paul Walker</w:t>
            </w:r>
          </w:p>
        </w:tc>
        <w:tc>
          <w:tcPr>
            <w:tcW w:w="387" w:type="dxa"/>
            <w:tcBorders>
              <w:bottom w:val="single" w:sz="4" w:space="0" w:color="auto"/>
            </w:tcBorders>
          </w:tcPr>
          <w:p w:rsidR="00B43855" w:rsidRDefault="00AE36F6" w:rsidP="003F4066">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B43855" w:rsidP="003F4066">
            <w:pPr>
              <w:pStyle w:val="Infotext"/>
            </w:pPr>
            <w:r>
              <w:t>Corporate Director</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EA1637">
            <w:pPr>
              <w:pStyle w:val="Infotext"/>
            </w:pPr>
            <w:r>
              <w:t xml:space="preserve">Date: </w:t>
            </w:r>
            <w:r w:rsidR="00EA1637">
              <w:t xml:space="preserve"> </w:t>
            </w:r>
            <w:r w:rsidR="0086137D">
              <w:t>10 May 2019</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3D78F6" w:rsidRDefault="004F13E0" w:rsidP="004F13E0">
            <w:pPr>
              <w:pStyle w:val="Infotext"/>
              <w:spacing w:before="120"/>
              <w:rPr>
                <w:i/>
                <w:sz w:val="24"/>
                <w:szCs w:val="24"/>
              </w:rPr>
            </w:pPr>
            <w:r>
              <w:rPr>
                <w:b/>
              </w:rPr>
              <w:t>YES</w:t>
            </w:r>
            <w:bookmarkStart w:id="1" w:name="_GoBack"/>
            <w:bookmarkEnd w:id="1"/>
          </w:p>
        </w:tc>
      </w:tr>
    </w:tbl>
    <w:p w:rsidR="008652B2" w:rsidRDefault="008652B2"/>
    <w:p w:rsidR="008652B2" w:rsidRDefault="008652B2"/>
    <w:p w:rsidR="006A233E" w:rsidRDefault="006A233E" w:rsidP="001075CF">
      <w:pPr>
        <w:pStyle w:val="Heading1"/>
        <w:keepNext/>
      </w:pPr>
      <w:r>
        <w:lastRenderedPageBreak/>
        <w:t>Section 4 - Contact Details and Background Papers</w:t>
      </w:r>
    </w:p>
    <w:p w:rsidR="006A233E" w:rsidRDefault="006A233E" w:rsidP="001075CF">
      <w:pPr>
        <w:keepNext/>
        <w:rPr>
          <w:rFonts w:cs="Arial"/>
        </w:rPr>
      </w:pPr>
    </w:p>
    <w:p w:rsidR="006A233E" w:rsidRDefault="006A233E" w:rsidP="001075CF">
      <w:pPr>
        <w:keepNext/>
      </w:pPr>
    </w:p>
    <w:p w:rsidR="00CB373D" w:rsidRPr="006E76A2" w:rsidRDefault="006A233E" w:rsidP="00CB373D">
      <w:pPr>
        <w:jc w:val="both"/>
        <w:rPr>
          <w:iCs/>
        </w:rPr>
      </w:pPr>
      <w:r w:rsidRPr="007563D9">
        <w:rPr>
          <w:b/>
        </w:rPr>
        <w:t>Contact:</w:t>
      </w:r>
      <w:r>
        <w:t xml:space="preserve"> </w:t>
      </w:r>
      <w:r w:rsidR="00CB373D">
        <w:t>Richard Le-</w:t>
      </w:r>
      <w:proofErr w:type="spellStart"/>
      <w:r w:rsidR="00CB373D">
        <w:t>Brun</w:t>
      </w:r>
      <w:proofErr w:type="spellEnd"/>
      <w:r w:rsidR="00CB373D">
        <w:t>, Head of Community and Public Protection, Ext. 6267</w:t>
      </w:r>
    </w:p>
    <w:p w:rsidR="006A233E" w:rsidRDefault="006A233E">
      <w:pPr>
        <w:pStyle w:val="Infotext"/>
      </w:pP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CB373D" w:rsidP="00E56EC8">
      <w:pPr>
        <w:pStyle w:val="Infotext"/>
        <w:rPr>
          <w:sz w:val="24"/>
          <w:szCs w:val="24"/>
        </w:rPr>
      </w:pPr>
      <w:r w:rsidRPr="00CB373D">
        <w:rPr>
          <w:sz w:val="24"/>
          <w:szCs w:val="24"/>
        </w:rPr>
        <w:t>https://www.gov.uk/government/publications/explanatory-memorandum-revised-guidance-issued-under-s-182-of-licensing-act-2003</w:t>
      </w:r>
    </w:p>
    <w:p w:rsidR="00CB373D" w:rsidRDefault="00CB373D" w:rsidP="00E56EC8">
      <w:pPr>
        <w:pStyle w:val="Infotext"/>
      </w:pP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4">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1"/>
  </w:num>
  <w:num w:numId="6">
    <w:abstractNumId w:val="8"/>
  </w:num>
  <w:num w:numId="7">
    <w:abstractNumId w:val="5"/>
  </w:num>
  <w:num w:numId="8">
    <w:abstractNumId w:val="4"/>
  </w:num>
  <w:num w:numId="9">
    <w:abstractNumId w:val="1"/>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55"/>
    <w:rsid w:val="0002728A"/>
    <w:rsid w:val="00034B71"/>
    <w:rsid w:val="000731BC"/>
    <w:rsid w:val="000A55A6"/>
    <w:rsid w:val="000C7C66"/>
    <w:rsid w:val="001024BB"/>
    <w:rsid w:val="001075CF"/>
    <w:rsid w:val="00111C79"/>
    <w:rsid w:val="00167D9B"/>
    <w:rsid w:val="001B6D6E"/>
    <w:rsid w:val="00297D54"/>
    <w:rsid w:val="002C0FCA"/>
    <w:rsid w:val="002D4B55"/>
    <w:rsid w:val="002F3847"/>
    <w:rsid w:val="00335462"/>
    <w:rsid w:val="003A15A7"/>
    <w:rsid w:val="003A253A"/>
    <w:rsid w:val="003C1DA8"/>
    <w:rsid w:val="00401CEE"/>
    <w:rsid w:val="004572EA"/>
    <w:rsid w:val="00465254"/>
    <w:rsid w:val="004A707B"/>
    <w:rsid w:val="004B7FC0"/>
    <w:rsid w:val="004F13E0"/>
    <w:rsid w:val="00552B11"/>
    <w:rsid w:val="00587AB5"/>
    <w:rsid w:val="005B4552"/>
    <w:rsid w:val="00601BE5"/>
    <w:rsid w:val="00625D40"/>
    <w:rsid w:val="0066641B"/>
    <w:rsid w:val="006A233E"/>
    <w:rsid w:val="006A3B0F"/>
    <w:rsid w:val="00716981"/>
    <w:rsid w:val="007563D9"/>
    <w:rsid w:val="007959D0"/>
    <w:rsid w:val="007C71D1"/>
    <w:rsid w:val="007D2AB0"/>
    <w:rsid w:val="00800679"/>
    <w:rsid w:val="00817B28"/>
    <w:rsid w:val="00830B1F"/>
    <w:rsid w:val="00832CC0"/>
    <w:rsid w:val="0086137D"/>
    <w:rsid w:val="008652B2"/>
    <w:rsid w:val="008B4E8D"/>
    <w:rsid w:val="008C45A2"/>
    <w:rsid w:val="008F0C6A"/>
    <w:rsid w:val="00906C40"/>
    <w:rsid w:val="00911565"/>
    <w:rsid w:val="009264CB"/>
    <w:rsid w:val="009462B7"/>
    <w:rsid w:val="00A2249B"/>
    <w:rsid w:val="00A4380F"/>
    <w:rsid w:val="00A47339"/>
    <w:rsid w:val="00A818E8"/>
    <w:rsid w:val="00AB72E0"/>
    <w:rsid w:val="00AC4D33"/>
    <w:rsid w:val="00AE36F6"/>
    <w:rsid w:val="00B43855"/>
    <w:rsid w:val="00B47140"/>
    <w:rsid w:val="00C24C28"/>
    <w:rsid w:val="00CB373D"/>
    <w:rsid w:val="00DA1035"/>
    <w:rsid w:val="00E16E20"/>
    <w:rsid w:val="00E34B6E"/>
    <w:rsid w:val="00E56EC8"/>
    <w:rsid w:val="00EA1637"/>
    <w:rsid w:val="00EE1D64"/>
    <w:rsid w:val="00EF10B5"/>
    <w:rsid w:val="00F54671"/>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BFDD-BF6F-4B96-A57C-64F03AFC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1314</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mwearing</cp:lastModifiedBy>
  <cp:revision>3</cp:revision>
  <cp:lastPrinted>2009-12-01T15:15:00Z</cp:lastPrinted>
  <dcterms:created xsi:type="dcterms:W3CDTF">2019-05-10T09:26:00Z</dcterms:created>
  <dcterms:modified xsi:type="dcterms:W3CDTF">2019-05-10T12:53:00Z</dcterms:modified>
</cp:coreProperties>
</file>